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6A4" w:rsidRDefault="006E76A4" w:rsidP="00143B59">
      <w:pPr>
        <w:autoSpaceDE w:val="0"/>
        <w:autoSpaceDN w:val="0"/>
        <w:adjustRightInd w:val="0"/>
        <w:ind w:left="0" w:firstLine="708"/>
        <w:jc w:val="both"/>
        <w:rPr>
          <w:rFonts w:eastAsia="Calibri"/>
          <w:color w:val="000000"/>
          <w:lang w:eastAsia="en-US"/>
        </w:rPr>
      </w:pPr>
    </w:p>
    <w:p w:rsidR="008804FB" w:rsidRPr="00507313" w:rsidRDefault="006E76A4" w:rsidP="006E76A4">
      <w:pPr>
        <w:autoSpaceDE w:val="0"/>
        <w:autoSpaceDN w:val="0"/>
        <w:adjustRightInd w:val="0"/>
        <w:ind w:left="0" w:firstLine="708"/>
        <w:jc w:val="center"/>
        <w:rPr>
          <w:rFonts w:eastAsia="Calibri"/>
          <w:b/>
          <w:bCs/>
          <w:color w:val="000000"/>
          <w:lang w:eastAsia="en-US"/>
        </w:rPr>
      </w:pPr>
      <w:proofErr w:type="spellStart"/>
      <w:r w:rsidRPr="00507313">
        <w:rPr>
          <w:rFonts w:eastAsia="Calibri"/>
          <w:b/>
          <w:bCs/>
          <w:color w:val="000000"/>
          <w:lang w:eastAsia="en-US"/>
        </w:rPr>
        <w:t>ProgBaz</w:t>
      </w:r>
      <w:proofErr w:type="spellEnd"/>
      <w:r w:rsidRPr="00507313">
        <w:rPr>
          <w:rFonts w:eastAsia="Calibri"/>
          <w:b/>
          <w:bCs/>
          <w:color w:val="000000"/>
          <w:lang w:eastAsia="en-US"/>
        </w:rPr>
        <w:t xml:space="preserve"> – modele mikrobiologiczne</w:t>
      </w:r>
    </w:p>
    <w:p w:rsidR="008804FB" w:rsidRPr="00DC399B" w:rsidRDefault="008804FB" w:rsidP="00143B59">
      <w:pPr>
        <w:autoSpaceDE w:val="0"/>
        <w:autoSpaceDN w:val="0"/>
        <w:adjustRightInd w:val="0"/>
        <w:ind w:left="0" w:firstLine="708"/>
        <w:jc w:val="both"/>
        <w:rPr>
          <w:rFonts w:eastAsia="Calibri"/>
          <w:color w:val="000000"/>
          <w:lang w:eastAsia="en-US"/>
        </w:rPr>
      </w:pPr>
    </w:p>
    <w:p w:rsidR="00143B59" w:rsidRPr="00DC399B" w:rsidRDefault="00143B59" w:rsidP="00143B59">
      <w:pPr>
        <w:autoSpaceDE w:val="0"/>
        <w:autoSpaceDN w:val="0"/>
        <w:adjustRightInd w:val="0"/>
        <w:ind w:left="0" w:firstLine="708"/>
        <w:jc w:val="both"/>
      </w:pPr>
      <w:bookmarkStart w:id="0" w:name="_GoBack"/>
      <w:bookmarkEnd w:id="0"/>
      <w:r w:rsidRPr="00DC399B">
        <w:rPr>
          <w:rStyle w:val="Hipercze"/>
          <w:rFonts w:eastAsiaTheme="minorEastAsia"/>
          <w:bCs/>
          <w:color w:val="auto"/>
          <w:kern w:val="24"/>
          <w:u w:val="none"/>
        </w:rPr>
        <w:t xml:space="preserve">W </w:t>
      </w:r>
      <w:proofErr w:type="spellStart"/>
      <w:r w:rsidRPr="00DC399B">
        <w:rPr>
          <w:rStyle w:val="Hipercze"/>
          <w:rFonts w:eastAsiaTheme="minorEastAsia"/>
          <w:bCs/>
          <w:color w:val="auto"/>
          <w:kern w:val="24"/>
          <w:u w:val="none"/>
        </w:rPr>
        <w:t>ProgBaz</w:t>
      </w:r>
      <w:proofErr w:type="spellEnd"/>
      <w:r w:rsidRPr="00DC399B">
        <w:rPr>
          <w:rStyle w:val="Hipercze"/>
          <w:rFonts w:eastAsiaTheme="minorEastAsia"/>
          <w:bCs/>
          <w:color w:val="auto"/>
          <w:kern w:val="24"/>
          <w:u w:val="none"/>
        </w:rPr>
        <w:t xml:space="preserve"> dostępne</w:t>
      </w:r>
      <w:r w:rsidRPr="00DC399B">
        <w:t xml:space="preserve"> są modele opracowane w przypadku modelowego produktu z mięsa rozdrobnionego oraz modele opracowane w przypadku konkretnych produktów rynkowych: pasztet wieprzowy, kiełbasa parzona drobno rozdrobniona,</w:t>
      </w:r>
      <w:r w:rsidR="00DC399B">
        <w:t xml:space="preserve"> </w:t>
      </w:r>
      <w:r w:rsidRPr="00DC399B">
        <w:t xml:space="preserve">kiełbasa dojrzewająca, ser </w:t>
      </w:r>
      <w:proofErr w:type="spellStart"/>
      <w:r w:rsidRPr="00DC399B">
        <w:t>probiotyczny</w:t>
      </w:r>
      <w:proofErr w:type="spellEnd"/>
      <w:r w:rsidRPr="00DC399B">
        <w:t xml:space="preserve"> z przerostem pleśniowym, które kontaminowano znaną koncentracją bakterii patogennych: </w:t>
      </w:r>
      <w:proofErr w:type="spellStart"/>
      <w:r w:rsidRPr="00DC399B">
        <w:rPr>
          <w:i/>
          <w:iCs/>
        </w:rPr>
        <w:t>Staphylococcus</w:t>
      </w:r>
      <w:proofErr w:type="spellEnd"/>
      <w:r w:rsidR="00DC399B">
        <w:rPr>
          <w:i/>
          <w:iCs/>
        </w:rPr>
        <w:t xml:space="preserve"> </w:t>
      </w:r>
      <w:proofErr w:type="spellStart"/>
      <w:r w:rsidRPr="00DC399B">
        <w:rPr>
          <w:i/>
          <w:iCs/>
        </w:rPr>
        <w:t>aureus</w:t>
      </w:r>
      <w:proofErr w:type="spellEnd"/>
      <w:r w:rsidRPr="00DC399B">
        <w:t xml:space="preserve">, </w:t>
      </w:r>
      <w:proofErr w:type="spellStart"/>
      <w:r w:rsidRPr="00DC399B">
        <w:rPr>
          <w:i/>
          <w:iCs/>
        </w:rPr>
        <w:t>Listeria</w:t>
      </w:r>
      <w:proofErr w:type="spellEnd"/>
      <w:r w:rsidR="00DC399B">
        <w:rPr>
          <w:i/>
          <w:iCs/>
        </w:rPr>
        <w:t xml:space="preserve"> </w:t>
      </w:r>
      <w:proofErr w:type="spellStart"/>
      <w:r w:rsidRPr="00DC399B">
        <w:rPr>
          <w:i/>
          <w:iCs/>
        </w:rPr>
        <w:t>monocytogenes</w:t>
      </w:r>
      <w:proofErr w:type="spellEnd"/>
      <w:r w:rsidRPr="00DC399B">
        <w:t xml:space="preserve">, </w:t>
      </w:r>
      <w:r w:rsidRPr="00DC399B">
        <w:rPr>
          <w:i/>
          <w:iCs/>
        </w:rPr>
        <w:t xml:space="preserve">Salmonella </w:t>
      </w:r>
      <w:proofErr w:type="spellStart"/>
      <w:r w:rsidRPr="00DC399B">
        <w:rPr>
          <w:i/>
          <w:iCs/>
        </w:rPr>
        <w:t>Enteritidis</w:t>
      </w:r>
      <w:proofErr w:type="spellEnd"/>
      <w:r w:rsidRPr="00DC399B">
        <w:t>. Kolejną grupę modeli stanowią modele z mięsa rozdrobnionego zweryfikowane w żywności na przykładzie kotleta wołowego z pieczarką,</w:t>
      </w:r>
      <w:r w:rsidR="00DC399B">
        <w:t xml:space="preserve"> </w:t>
      </w:r>
      <w:r w:rsidRPr="00DC399B">
        <w:t>kotleta mielonego,</w:t>
      </w:r>
      <w:r w:rsidR="00DC399B">
        <w:t xml:space="preserve"> </w:t>
      </w:r>
      <w:r w:rsidRPr="00DC399B">
        <w:t>kotleta wieprzowo-wołowego, pulpeta wołowo-wieprzowego, befsztyka wołowego,</w:t>
      </w:r>
      <w:r w:rsidR="00DC399B">
        <w:t xml:space="preserve"> </w:t>
      </w:r>
      <w:r w:rsidRPr="00DC399B">
        <w:t xml:space="preserve">sosu </w:t>
      </w:r>
      <w:proofErr w:type="spellStart"/>
      <w:r w:rsidRPr="00DC399B">
        <w:t>bolognese</w:t>
      </w:r>
      <w:proofErr w:type="spellEnd"/>
      <w:r w:rsidRPr="00DC399B">
        <w:t>.</w:t>
      </w:r>
    </w:p>
    <w:p w:rsidR="00DC399B" w:rsidRPr="00DC399B" w:rsidRDefault="00143B59" w:rsidP="00143B59">
      <w:pPr>
        <w:autoSpaceDE w:val="0"/>
        <w:autoSpaceDN w:val="0"/>
        <w:adjustRightInd w:val="0"/>
        <w:ind w:left="0" w:firstLine="708"/>
        <w:jc w:val="both"/>
        <w:rPr>
          <w:iCs/>
        </w:rPr>
      </w:pPr>
      <w:r w:rsidRPr="00DC399B">
        <w:t xml:space="preserve">W </w:t>
      </w:r>
      <w:proofErr w:type="spellStart"/>
      <w:r w:rsidRPr="00DC399B">
        <w:t>ProgBaz</w:t>
      </w:r>
      <w:proofErr w:type="spellEnd"/>
      <w:r w:rsidRPr="00DC399B">
        <w:t xml:space="preserve"> znajdują się modele opisujące wzrost i przeżywalność mikroflory korzystnej, potencjalnie </w:t>
      </w:r>
      <w:proofErr w:type="spellStart"/>
      <w:r w:rsidR="00DC399B">
        <w:t>probiotycznej</w:t>
      </w:r>
      <w:proofErr w:type="spellEnd"/>
      <w:r w:rsidR="00DC399B">
        <w:t xml:space="preserve"> </w:t>
      </w:r>
      <w:r w:rsidRPr="00DC399B">
        <w:rPr>
          <w:rFonts w:eastAsia="Calibri"/>
          <w:color w:val="000000"/>
          <w:lang w:eastAsia="en-US"/>
        </w:rPr>
        <w:t>występującej w fermentowanym napoju sojowymi</w:t>
      </w:r>
      <w:r w:rsidR="006E76A4">
        <w:rPr>
          <w:rFonts w:eastAsia="Calibri"/>
          <w:color w:val="000000"/>
          <w:lang w:eastAsia="en-US"/>
        </w:rPr>
        <w:t xml:space="preserve"> i</w:t>
      </w:r>
      <w:r w:rsidRPr="00DC399B">
        <w:rPr>
          <w:rFonts w:eastAsia="Calibri"/>
          <w:color w:val="000000"/>
          <w:lang w:eastAsia="en-US"/>
        </w:rPr>
        <w:t xml:space="preserve"> w fermentowanym soku marchwiowym. W przypadku fermentowanego napoju sojowego ocenić można przeżywalność szczepu </w:t>
      </w:r>
      <w:proofErr w:type="spellStart"/>
      <w:r w:rsidRPr="00DC399B">
        <w:rPr>
          <w:rFonts w:eastAsia="Calibri"/>
          <w:i/>
          <w:color w:val="000000"/>
          <w:lang w:eastAsia="en-US"/>
        </w:rPr>
        <w:t>Lactobacillus</w:t>
      </w:r>
      <w:proofErr w:type="spellEnd"/>
      <w:r w:rsidR="00DC399B">
        <w:rPr>
          <w:rFonts w:eastAsia="Calibri"/>
          <w:i/>
          <w:color w:val="000000"/>
          <w:lang w:eastAsia="en-US"/>
        </w:rPr>
        <w:t xml:space="preserve"> </w:t>
      </w:r>
      <w:proofErr w:type="spellStart"/>
      <w:r w:rsidRPr="00DC399B">
        <w:rPr>
          <w:rFonts w:eastAsia="Calibri"/>
          <w:i/>
          <w:color w:val="000000"/>
          <w:lang w:eastAsia="en-US"/>
        </w:rPr>
        <w:t>casei</w:t>
      </w:r>
      <w:proofErr w:type="spellEnd"/>
      <w:r w:rsidRPr="00DC399B">
        <w:rPr>
          <w:rFonts w:eastAsia="Calibri"/>
          <w:color w:val="000000"/>
          <w:lang w:eastAsia="en-US"/>
        </w:rPr>
        <w:t xml:space="preserve"> KN291 (log </w:t>
      </w:r>
      <w:proofErr w:type="spellStart"/>
      <w:r w:rsidRPr="00DC399B">
        <w:rPr>
          <w:rFonts w:eastAsia="Calibri"/>
          <w:color w:val="000000"/>
          <w:lang w:eastAsia="en-US"/>
        </w:rPr>
        <w:t>jtk</w:t>
      </w:r>
      <w:proofErr w:type="spellEnd"/>
      <w:r w:rsidRPr="00DC399B">
        <w:rPr>
          <w:rFonts w:eastAsia="Calibri"/>
          <w:color w:val="000000"/>
          <w:lang w:eastAsia="en-US"/>
        </w:rPr>
        <w:t>/ml)</w:t>
      </w:r>
      <w:r w:rsidR="00507313">
        <w:rPr>
          <w:rFonts w:eastAsia="Calibri"/>
          <w:color w:val="000000"/>
          <w:lang w:eastAsia="en-US"/>
        </w:rPr>
        <w:t xml:space="preserve"> </w:t>
      </w:r>
      <w:r w:rsidRPr="00DC399B">
        <w:rPr>
          <w:rFonts w:eastAsia="Calibri"/>
          <w:color w:val="000000"/>
          <w:lang w:eastAsia="en-US"/>
        </w:rPr>
        <w:t>podczas przechowywania w czasie 0-62 dni; w temperaturze 5, 10, 15, 20</w:t>
      </w:r>
      <w:r w:rsidRPr="00DC399B">
        <w:rPr>
          <w:rFonts w:eastAsia="Calibri"/>
          <w:color w:val="000000"/>
          <w:lang w:eastAsia="en-US"/>
        </w:rPr>
        <w:sym w:font="Symbol" w:char="F0B0"/>
      </w:r>
      <w:r w:rsidRPr="00DC399B">
        <w:rPr>
          <w:rFonts w:eastAsia="Calibri"/>
          <w:color w:val="000000"/>
          <w:lang w:eastAsia="en-US"/>
        </w:rPr>
        <w:t>C.</w:t>
      </w:r>
      <w:r w:rsidR="00507313">
        <w:rPr>
          <w:rFonts w:eastAsia="Calibri"/>
          <w:color w:val="000000"/>
          <w:lang w:eastAsia="en-US"/>
        </w:rPr>
        <w:t xml:space="preserve"> </w:t>
      </w:r>
      <w:r w:rsidRPr="00DC399B">
        <w:rPr>
          <w:rFonts w:eastAsia="Calibri"/>
          <w:color w:val="000000"/>
          <w:lang w:eastAsia="en-US"/>
        </w:rPr>
        <w:t xml:space="preserve">W przypadku fermentowanego soku marchwiowego ocenić można wzrost i przeżywalność </w:t>
      </w:r>
      <w:proofErr w:type="spellStart"/>
      <w:r w:rsidRPr="00DC399B">
        <w:rPr>
          <w:rFonts w:eastAsia="Calibri"/>
          <w:i/>
          <w:iCs/>
          <w:color w:val="000000"/>
          <w:lang w:eastAsia="en-US"/>
        </w:rPr>
        <w:t>Lactobacillus</w:t>
      </w:r>
      <w:proofErr w:type="spellEnd"/>
      <w:r w:rsidR="00244262">
        <w:rPr>
          <w:rFonts w:eastAsia="Calibri"/>
          <w:i/>
          <w:iCs/>
          <w:color w:val="000000"/>
          <w:lang w:eastAsia="en-US"/>
        </w:rPr>
        <w:t xml:space="preserve"> </w:t>
      </w:r>
      <w:proofErr w:type="spellStart"/>
      <w:r w:rsidRPr="00DC399B">
        <w:rPr>
          <w:rFonts w:eastAsia="Calibri"/>
          <w:i/>
          <w:iCs/>
          <w:color w:val="000000"/>
          <w:lang w:eastAsia="en-US"/>
        </w:rPr>
        <w:t>acidophilus</w:t>
      </w:r>
      <w:proofErr w:type="spellEnd"/>
      <w:r w:rsidRPr="00DC399B">
        <w:rPr>
          <w:rFonts w:eastAsia="Calibri"/>
          <w:color w:val="000000"/>
          <w:lang w:eastAsia="en-US"/>
        </w:rPr>
        <w:t xml:space="preserve"> CH-2 (</w:t>
      </w:r>
      <w:proofErr w:type="spellStart"/>
      <w:r w:rsidRPr="00DC399B">
        <w:rPr>
          <w:rFonts w:eastAsia="Calibri"/>
          <w:color w:val="000000"/>
          <w:lang w:eastAsia="en-US"/>
        </w:rPr>
        <w:t>jtk</w:t>
      </w:r>
      <w:proofErr w:type="spellEnd"/>
      <w:r w:rsidRPr="00DC399B">
        <w:rPr>
          <w:rFonts w:eastAsia="Calibri"/>
          <w:color w:val="000000"/>
          <w:lang w:eastAsia="en-US"/>
        </w:rPr>
        <w:t>/ml) w czasie przechowywania 0-36 dni</w:t>
      </w:r>
      <w:r w:rsidR="00244262">
        <w:rPr>
          <w:rFonts w:eastAsia="Calibri"/>
          <w:color w:val="000000"/>
          <w:lang w:eastAsia="en-US"/>
        </w:rPr>
        <w:t xml:space="preserve"> </w:t>
      </w:r>
      <w:r w:rsidRPr="00DC399B">
        <w:rPr>
          <w:rFonts w:eastAsia="Calibri"/>
          <w:color w:val="000000"/>
          <w:lang w:eastAsia="en-US"/>
        </w:rPr>
        <w:t>i temperaturze 0-20°C</w:t>
      </w:r>
      <w:r w:rsidR="00DC399B">
        <w:rPr>
          <w:rFonts w:eastAsia="Calibri"/>
          <w:color w:val="000000"/>
          <w:lang w:eastAsia="en-US"/>
        </w:rPr>
        <w:t xml:space="preserve"> </w:t>
      </w:r>
      <w:r w:rsidRPr="00DC399B">
        <w:rPr>
          <w:rFonts w:eastAsia="Calibri"/>
          <w:color w:val="000000"/>
          <w:lang w:eastAsia="en-US"/>
        </w:rPr>
        <w:t xml:space="preserve">z dodatkiem i bez dodatku inuliny. W </w:t>
      </w:r>
      <w:proofErr w:type="spellStart"/>
      <w:r w:rsidRPr="00DC399B">
        <w:rPr>
          <w:rFonts w:eastAsia="Calibri"/>
          <w:color w:val="000000"/>
          <w:lang w:eastAsia="en-US"/>
        </w:rPr>
        <w:t>ProgBaz</w:t>
      </w:r>
      <w:proofErr w:type="spellEnd"/>
      <w:r w:rsidRPr="00DC399B">
        <w:rPr>
          <w:rFonts w:eastAsia="Calibri"/>
          <w:color w:val="000000"/>
          <w:lang w:eastAsia="en-US"/>
        </w:rPr>
        <w:t xml:space="preserve"> znajdują się również modele </w:t>
      </w:r>
      <w:r w:rsidRPr="00DC399B">
        <w:t>matematyczne opracowane w przypadku mikroflory saprofitycznej i patogennej (</w:t>
      </w:r>
      <w:proofErr w:type="spellStart"/>
      <w:r w:rsidRPr="00DC399B">
        <w:rPr>
          <w:i/>
          <w:iCs/>
        </w:rPr>
        <w:t>Pseudomonas</w:t>
      </w:r>
      <w:proofErr w:type="spellEnd"/>
      <w:r w:rsidR="00DC399B">
        <w:rPr>
          <w:i/>
          <w:iCs/>
        </w:rPr>
        <w:t xml:space="preserve"> </w:t>
      </w:r>
      <w:proofErr w:type="spellStart"/>
      <w:r w:rsidR="00DC399B">
        <w:rPr>
          <w:iCs/>
        </w:rPr>
        <w:t>spp</w:t>
      </w:r>
      <w:proofErr w:type="spellEnd"/>
      <w:r w:rsidR="00DC399B">
        <w:rPr>
          <w:iCs/>
        </w:rPr>
        <w:t xml:space="preserve">., </w:t>
      </w:r>
      <w:r w:rsidR="00DC399B">
        <w:rPr>
          <w:i/>
          <w:iCs/>
        </w:rPr>
        <w:t xml:space="preserve">Salmonella </w:t>
      </w:r>
      <w:proofErr w:type="spellStart"/>
      <w:r w:rsidR="00DC399B">
        <w:rPr>
          <w:iCs/>
        </w:rPr>
        <w:t>spp</w:t>
      </w:r>
      <w:proofErr w:type="spellEnd"/>
      <w:r w:rsidR="00DC399B">
        <w:rPr>
          <w:iCs/>
        </w:rPr>
        <w:t xml:space="preserve">., </w:t>
      </w:r>
      <w:proofErr w:type="spellStart"/>
      <w:r w:rsidR="00DC399B">
        <w:rPr>
          <w:i/>
          <w:iCs/>
        </w:rPr>
        <w:t>Listeria</w:t>
      </w:r>
      <w:proofErr w:type="spellEnd"/>
      <w:r w:rsidR="00DC399B">
        <w:rPr>
          <w:i/>
          <w:iCs/>
        </w:rPr>
        <w:t xml:space="preserve"> </w:t>
      </w:r>
      <w:proofErr w:type="spellStart"/>
      <w:r w:rsidR="00DC399B">
        <w:rPr>
          <w:i/>
          <w:iCs/>
        </w:rPr>
        <w:t>monocytogenes</w:t>
      </w:r>
      <w:proofErr w:type="spellEnd"/>
      <w:r w:rsidR="00DC399B">
        <w:rPr>
          <w:iCs/>
        </w:rPr>
        <w:t xml:space="preserve">, </w:t>
      </w:r>
      <w:proofErr w:type="spellStart"/>
      <w:r w:rsidR="00DC399B">
        <w:rPr>
          <w:i/>
          <w:iCs/>
        </w:rPr>
        <w:t>Staphylococcus</w:t>
      </w:r>
      <w:proofErr w:type="spellEnd"/>
      <w:r w:rsidR="00DC399B">
        <w:rPr>
          <w:i/>
          <w:iCs/>
        </w:rPr>
        <w:t xml:space="preserve"> </w:t>
      </w:r>
      <w:proofErr w:type="spellStart"/>
      <w:r w:rsidR="00DC399B">
        <w:rPr>
          <w:i/>
          <w:iCs/>
        </w:rPr>
        <w:t>aureus</w:t>
      </w:r>
      <w:proofErr w:type="spellEnd"/>
      <w:r w:rsidR="00DC399B">
        <w:rPr>
          <w:iCs/>
        </w:rPr>
        <w:t xml:space="preserve">, </w:t>
      </w:r>
      <w:proofErr w:type="spellStart"/>
      <w:r w:rsidR="00DC399B">
        <w:rPr>
          <w:iCs/>
        </w:rPr>
        <w:t>psychrotrofów</w:t>
      </w:r>
      <w:proofErr w:type="spellEnd"/>
      <w:r w:rsidR="00DC399B">
        <w:rPr>
          <w:iCs/>
        </w:rPr>
        <w:t>, drożdży i grzybów pleśniowych).</w:t>
      </w:r>
    </w:p>
    <w:p w:rsidR="00143B59" w:rsidRPr="00DC399B" w:rsidRDefault="00143B59" w:rsidP="00143B59">
      <w:pPr>
        <w:autoSpaceDE w:val="0"/>
        <w:autoSpaceDN w:val="0"/>
        <w:adjustRightInd w:val="0"/>
        <w:ind w:left="0" w:firstLine="708"/>
        <w:jc w:val="both"/>
      </w:pPr>
      <w:r w:rsidRPr="00DC399B">
        <w:t>Po wyborze produktu i grupy drobnoustrojów należy</w:t>
      </w:r>
      <w:r w:rsidR="00507313">
        <w:t>,</w:t>
      </w:r>
      <w:r w:rsidRPr="00DC399B">
        <w:t xml:space="preserve"> wybrać temperaturę przechowywania i/lub inne czynniki determinujące wzrost mikroflory (poziom soli, poziom azotanu sodu).</w:t>
      </w:r>
      <w:r w:rsidR="00DC399B">
        <w:t xml:space="preserve"> </w:t>
      </w:r>
      <w:r w:rsidRPr="00DC399B">
        <w:t>Na podstawie obliczeń matematycznych zostaną wyświetlone właściwości populacji drobnoustrojów wyrażone jako: długość trwania lag fazy, maksymalne tempo wzrostu w fazie</w:t>
      </w:r>
      <w:r w:rsidR="00507313">
        <w:t xml:space="preserve"> </w:t>
      </w:r>
      <w:r w:rsidRPr="00DC399B">
        <w:t>wykładniczej, czas pomiędzy podziałami drobnoustrojów oraz maksymalna  gęstość populacji. W przypadku modelu opracowanego dla produktu z mięsa rozdrobnionego</w:t>
      </w:r>
      <w:r w:rsidR="00507313">
        <w:t>,</w:t>
      </w:r>
      <w:r w:rsidRPr="00DC399B">
        <w:t xml:space="preserve"> zweryfikowanego w żywności na przykładzie befsztyka wołowego, kotleta mielonego, kotleta wieprzowo-wołowego, kotleta wołowego z pieczarką, pulpeta wołowo-wieprzowego, sosu </w:t>
      </w:r>
      <w:proofErr w:type="spellStart"/>
      <w:r w:rsidRPr="00DC399B">
        <w:t>bolognese</w:t>
      </w:r>
      <w:proofErr w:type="spellEnd"/>
      <w:r w:rsidRPr="00DC399B">
        <w:t xml:space="preserve">, dostępne są parametry matematyczno-statystyczne (R2, MSE, </w:t>
      </w:r>
      <w:proofErr w:type="spellStart"/>
      <w:r w:rsidRPr="00DC399B">
        <w:t>Af</w:t>
      </w:r>
      <w:proofErr w:type="spellEnd"/>
      <w:r w:rsidRPr="00DC399B">
        <w:t xml:space="preserve">, </w:t>
      </w:r>
      <w:proofErr w:type="spellStart"/>
      <w:r w:rsidRPr="00DC399B">
        <w:t>Bf</w:t>
      </w:r>
      <w:proofErr w:type="spellEnd"/>
      <w:r w:rsidRPr="00DC399B">
        <w:t>)</w:t>
      </w:r>
      <w:r w:rsidR="00507313">
        <w:t>,</w:t>
      </w:r>
      <w:r w:rsidRPr="00DC399B">
        <w:t xml:space="preserve"> świadczące o jakości prognoz generowanych przez model. </w:t>
      </w:r>
    </w:p>
    <w:p w:rsidR="00143B59" w:rsidRPr="00DC399B" w:rsidRDefault="00143B59" w:rsidP="00143B59">
      <w:pPr>
        <w:autoSpaceDE w:val="0"/>
        <w:autoSpaceDN w:val="0"/>
        <w:adjustRightInd w:val="0"/>
        <w:ind w:left="0" w:firstLine="708"/>
        <w:jc w:val="both"/>
      </w:pPr>
      <w:proofErr w:type="spellStart"/>
      <w:r w:rsidRPr="00DC399B">
        <w:t>ProgBaz</w:t>
      </w:r>
      <w:proofErr w:type="spellEnd"/>
      <w:r w:rsidRPr="00DC399B">
        <w:t xml:space="preserve"> dostarcza informacj</w:t>
      </w:r>
      <w:r w:rsidR="00507313">
        <w:t>i</w:t>
      </w:r>
      <w:r w:rsidRPr="00DC399B">
        <w:t xml:space="preserve"> o odpowiedzi wybranych drobnoustrojów na zadane czynniki środowiskowe (lag faza</w:t>
      </w:r>
      <w:r w:rsidR="00507313">
        <w:t xml:space="preserve"> </w:t>
      </w:r>
      <w:r w:rsidRPr="00DC399B">
        <w:t xml:space="preserve">- czas przystosowania się populacji drobnoustrojów do </w:t>
      </w:r>
      <w:r w:rsidRPr="00DC399B">
        <w:lastRenderedPageBreak/>
        <w:t xml:space="preserve">zadanych warunków środowiska, tempo wzrostu w fazie wykładniczej oraz czas pomiędzy podziałami drobnoustrojów). Informacje te pozwalają oszacować bezpieczeństwo produktu </w:t>
      </w:r>
      <w:r w:rsidR="00507313">
        <w:t>i</w:t>
      </w:r>
      <w:r w:rsidRPr="00DC399B">
        <w:t xml:space="preserve"> jego termin przydatności do spożycia. W związku z tym Baza </w:t>
      </w:r>
      <w:proofErr w:type="spellStart"/>
      <w:r w:rsidRPr="00DC399B">
        <w:t>ProgBaz</w:t>
      </w:r>
      <w:proofErr w:type="spellEnd"/>
      <w:r w:rsidRPr="00DC399B">
        <w:t xml:space="preserve"> może być wykorzystywana do projektowania nowych produktów spożywczych, w ograniczaniu marnotrawstwa żywności, w opracowaniu planu zarządzania ryzykiem, do oceny ryzyka mikrobiologicznego żywności oraz stanowić narzędzie edukacyjne i szkoleniowe. </w:t>
      </w:r>
    </w:p>
    <w:p w:rsidR="00143B59" w:rsidRPr="00DC399B" w:rsidRDefault="00143B59" w:rsidP="00143B59">
      <w:pPr>
        <w:autoSpaceDE w:val="0"/>
        <w:autoSpaceDN w:val="0"/>
        <w:adjustRightInd w:val="0"/>
        <w:ind w:left="0" w:firstLine="708"/>
        <w:jc w:val="both"/>
      </w:pPr>
    </w:p>
    <w:p w:rsidR="00143B59" w:rsidRPr="00DC399B" w:rsidRDefault="00143B59" w:rsidP="00143B59">
      <w:pPr>
        <w:jc w:val="both"/>
        <w:rPr>
          <w:rFonts w:eastAsia="Calibri"/>
          <w:color w:val="000000"/>
          <w:lang w:eastAsia="en-US"/>
        </w:rPr>
      </w:pPr>
    </w:p>
    <w:p w:rsidR="00143B59" w:rsidRPr="00DC399B" w:rsidRDefault="00143B59" w:rsidP="00143B59">
      <w:pPr>
        <w:jc w:val="both"/>
        <w:rPr>
          <w:rFonts w:eastAsia="Calibri"/>
          <w:color w:val="000000"/>
          <w:lang w:eastAsia="en-US"/>
        </w:rPr>
      </w:pPr>
    </w:p>
    <w:p w:rsidR="00143B59" w:rsidRPr="00DC399B" w:rsidRDefault="00143B59" w:rsidP="00143B59">
      <w:pPr>
        <w:jc w:val="both"/>
        <w:rPr>
          <w:rFonts w:eastAsia="Calibri"/>
          <w:color w:val="000000"/>
          <w:lang w:eastAsia="en-US"/>
        </w:rPr>
      </w:pPr>
    </w:p>
    <w:p w:rsidR="00143B59" w:rsidRPr="00DC399B" w:rsidRDefault="00143B59" w:rsidP="00143B59">
      <w:pPr>
        <w:jc w:val="both"/>
        <w:rPr>
          <w:rFonts w:eastAsia="Calibri"/>
          <w:color w:val="000000"/>
          <w:lang w:eastAsia="en-US"/>
        </w:rPr>
      </w:pPr>
    </w:p>
    <w:p w:rsidR="00143B59" w:rsidRPr="00DC399B" w:rsidRDefault="00143B59" w:rsidP="00143B59">
      <w:pPr>
        <w:jc w:val="both"/>
        <w:rPr>
          <w:rFonts w:eastAsia="Calibri"/>
          <w:color w:val="000000"/>
          <w:lang w:eastAsia="en-US"/>
        </w:rPr>
      </w:pPr>
    </w:p>
    <w:p w:rsidR="00143B59" w:rsidRPr="00DC399B" w:rsidRDefault="00143B59" w:rsidP="00143B59">
      <w:pPr>
        <w:jc w:val="both"/>
        <w:rPr>
          <w:rFonts w:eastAsia="Calibri"/>
          <w:color w:val="000000"/>
          <w:lang w:eastAsia="en-US"/>
        </w:rPr>
      </w:pPr>
    </w:p>
    <w:p w:rsidR="008804FB" w:rsidRPr="00DC399B" w:rsidRDefault="008804FB" w:rsidP="00DC399B">
      <w:pPr>
        <w:ind w:left="0" w:firstLine="0"/>
        <w:jc w:val="both"/>
      </w:pPr>
    </w:p>
    <w:sectPr w:rsidR="008804FB" w:rsidRPr="00DC399B" w:rsidSect="00A63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4FB"/>
    <w:rsid w:val="00143B59"/>
    <w:rsid w:val="00244262"/>
    <w:rsid w:val="002B2D12"/>
    <w:rsid w:val="002E3AEB"/>
    <w:rsid w:val="00507313"/>
    <w:rsid w:val="006E76A4"/>
    <w:rsid w:val="007207D4"/>
    <w:rsid w:val="008804FB"/>
    <w:rsid w:val="00A63AAC"/>
    <w:rsid w:val="00AD55A8"/>
    <w:rsid w:val="00DC399B"/>
    <w:rsid w:val="00DD67EC"/>
    <w:rsid w:val="00ED2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B6C598-79A4-4AC0-9192-18F15650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04FB"/>
    <w:pPr>
      <w:spacing w:after="0" w:line="360" w:lineRule="auto"/>
      <w:ind w:left="1418" w:hanging="141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04FB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3B5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6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6A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E7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Gemba Mateusz</dc:creator>
  <cp:keywords/>
  <dc:description/>
  <cp:lastModifiedBy>Monika Hoffmann</cp:lastModifiedBy>
  <cp:revision>2</cp:revision>
  <cp:lastPrinted>2019-10-25T07:27:00Z</cp:lastPrinted>
  <dcterms:created xsi:type="dcterms:W3CDTF">2019-11-04T11:02:00Z</dcterms:created>
  <dcterms:modified xsi:type="dcterms:W3CDTF">2019-11-04T11:02:00Z</dcterms:modified>
</cp:coreProperties>
</file>